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6D" w:rsidRDefault="00464F6D" w:rsidP="00464F6D">
      <w:pPr>
        <w:jc w:val="both"/>
        <w:rPr>
          <w:b/>
          <w:color w:val="008080"/>
          <w:sz w:val="40"/>
        </w:rPr>
      </w:pPr>
      <w:r>
        <w:rPr>
          <w:b/>
          <w:color w:val="008080"/>
          <w:sz w:val="40"/>
        </w:rPr>
        <w:t>Energy efficient replacement doors</w:t>
      </w:r>
    </w:p>
    <w:p w:rsidR="00464F6D" w:rsidRDefault="00464F6D" w:rsidP="00464F6D">
      <w:pPr>
        <w:spacing w:after="0" w:line="240" w:lineRule="auto"/>
        <w:jc w:val="both"/>
        <w:rPr>
          <w:color w:val="3B3838" w:themeColor="background2" w:themeShade="40"/>
          <w:sz w:val="24"/>
        </w:rPr>
      </w:pPr>
      <w:r w:rsidRPr="005C6B3C">
        <w:rPr>
          <w:b/>
          <w:color w:val="3B3838" w:themeColor="background2" w:themeShade="40"/>
          <w:sz w:val="28"/>
        </w:rPr>
        <w:t>What is it?</w:t>
      </w:r>
      <w:r w:rsidRPr="005C6B3C">
        <w:rPr>
          <w:color w:val="3B3838" w:themeColor="background2" w:themeShade="40"/>
          <w:sz w:val="28"/>
        </w:rPr>
        <w:t xml:space="preserve"> </w:t>
      </w:r>
      <w:r>
        <w:rPr>
          <w:color w:val="3B3838" w:themeColor="background2" w:themeShade="40"/>
          <w:sz w:val="24"/>
        </w:rPr>
        <w:t>Energy efficient replacement doors will help to improve the energy efficiency and comfort of your home</w:t>
      </w:r>
      <w:r w:rsidRPr="00582DAD">
        <w:rPr>
          <w:color w:val="3B3838" w:themeColor="background2" w:themeShade="40"/>
          <w:sz w:val="24"/>
        </w:rPr>
        <w:t>.</w:t>
      </w:r>
      <w:r>
        <w:rPr>
          <w:color w:val="3B3838" w:themeColor="background2" w:themeShade="40"/>
          <w:sz w:val="24"/>
        </w:rPr>
        <w:t xml:space="preserve"> </w:t>
      </w:r>
    </w:p>
    <w:p w:rsidR="00464F6D" w:rsidRDefault="00464F6D" w:rsidP="00464F6D">
      <w:pPr>
        <w:spacing w:after="0" w:line="240" w:lineRule="auto"/>
        <w:jc w:val="both"/>
        <w:rPr>
          <w:color w:val="3B3838" w:themeColor="background2" w:themeShade="40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977"/>
      </w:tblGrid>
      <w:tr w:rsidR="00464F6D" w:rsidTr="009346EE">
        <w:tc>
          <w:tcPr>
            <w:tcW w:w="2977" w:type="dxa"/>
            <w:shd w:val="clear" w:color="auto" w:fill="E2EFD9" w:themeFill="accent6" w:themeFillTint="33"/>
          </w:tcPr>
          <w:p w:rsidR="00464F6D" w:rsidRDefault="00464F6D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r w:rsidRPr="00D24DA8">
              <w:rPr>
                <w:b/>
                <w:color w:val="3B3838" w:themeColor="background2" w:themeShade="40"/>
                <w:sz w:val="28"/>
              </w:rPr>
              <w:t>Cost</w:t>
            </w:r>
            <w:r>
              <w:rPr>
                <w:color w:val="3B3838" w:themeColor="background2" w:themeShade="40"/>
                <w:sz w:val="28"/>
              </w:rPr>
              <w:t xml:space="preserve"> ££</w:t>
            </w:r>
          </w:p>
        </w:tc>
      </w:tr>
      <w:tr w:rsidR="00464F6D" w:rsidTr="009346EE">
        <w:tc>
          <w:tcPr>
            <w:tcW w:w="2977" w:type="dxa"/>
            <w:shd w:val="clear" w:color="auto" w:fill="E2EFD9" w:themeFill="accent6" w:themeFillTint="33"/>
          </w:tcPr>
          <w:p w:rsidR="00464F6D" w:rsidRDefault="00464F6D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r w:rsidRPr="00D24DA8">
              <w:rPr>
                <w:b/>
                <w:color w:val="3B3838" w:themeColor="background2" w:themeShade="40"/>
                <w:sz w:val="28"/>
              </w:rPr>
              <w:t>Improvement</w:t>
            </w:r>
            <w:r>
              <w:rPr>
                <w:color w:val="3B3838" w:themeColor="background2" w:themeShade="40"/>
                <w:sz w:val="28"/>
              </w:rPr>
              <w:t xml:space="preserve"> ↗↗</w:t>
            </w:r>
          </w:p>
        </w:tc>
      </w:tr>
      <w:tr w:rsidR="00464F6D" w:rsidTr="009346EE">
        <w:tc>
          <w:tcPr>
            <w:tcW w:w="2977" w:type="dxa"/>
            <w:shd w:val="clear" w:color="auto" w:fill="E2EFD9" w:themeFill="accent6" w:themeFillTint="33"/>
          </w:tcPr>
          <w:p w:rsidR="00464F6D" w:rsidRDefault="00464F6D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proofErr w:type="gramStart"/>
            <w:r w:rsidRPr="00D24DA8">
              <w:rPr>
                <w:b/>
                <w:color w:val="3B3838" w:themeColor="background2" w:themeShade="40"/>
                <w:sz w:val="28"/>
              </w:rPr>
              <w:t>Disruption</w:t>
            </w:r>
            <w:r>
              <w:rPr>
                <w:color w:val="3B3838" w:themeColor="background2" w:themeShade="40"/>
                <w:sz w:val="28"/>
              </w:rPr>
              <w:t xml:space="preserve"> !!</w:t>
            </w:r>
            <w:proofErr w:type="gramEnd"/>
          </w:p>
        </w:tc>
      </w:tr>
    </w:tbl>
    <w:p w:rsidR="00464F6D" w:rsidRPr="00692ACA" w:rsidRDefault="00464F6D" w:rsidP="00464F6D">
      <w:pPr>
        <w:spacing w:after="0" w:line="240" w:lineRule="auto"/>
        <w:jc w:val="both"/>
        <w:rPr>
          <w:b/>
          <w:color w:val="3B3838" w:themeColor="background2" w:themeShade="40"/>
          <w:sz w:val="24"/>
        </w:rPr>
      </w:pPr>
      <w:bookmarkStart w:id="0" w:name="_GoBack"/>
      <w:bookmarkEnd w:id="0"/>
    </w:p>
    <w:p w:rsidR="00464F6D" w:rsidRDefault="00464F6D" w:rsidP="00464F6D">
      <w:pPr>
        <w:spacing w:after="0" w:line="240" w:lineRule="auto"/>
        <w:jc w:val="both"/>
        <w:rPr>
          <w:color w:val="3B3838" w:themeColor="background2" w:themeShade="40"/>
          <w:sz w:val="28"/>
        </w:rPr>
      </w:pPr>
      <w:r w:rsidRPr="00903B1F">
        <w:rPr>
          <w:b/>
          <w:color w:val="3B3838" w:themeColor="background2" w:themeShade="40"/>
          <w:sz w:val="28"/>
        </w:rPr>
        <w:t>Property designations?</w:t>
      </w:r>
      <w:r>
        <w:rPr>
          <w:color w:val="3B3838" w:themeColor="background2" w:themeShade="40"/>
          <w:sz w:val="28"/>
        </w:rPr>
        <w:t xml:space="preserve"> </w:t>
      </w:r>
      <w:r w:rsidRPr="00537910">
        <w:rPr>
          <w:color w:val="3B3838" w:themeColor="background2" w:themeShade="40"/>
          <w:sz w:val="24"/>
          <w:szCs w:val="24"/>
        </w:rPr>
        <w:t>Is y</w:t>
      </w:r>
      <w:r>
        <w:rPr>
          <w:color w:val="3B3838" w:themeColor="background2" w:themeShade="40"/>
          <w:sz w:val="24"/>
          <w:szCs w:val="24"/>
        </w:rPr>
        <w:t>our home in a Conservation Area?</w:t>
      </w:r>
      <w:r w:rsidRPr="00537910">
        <w:rPr>
          <w:color w:val="3B3838" w:themeColor="background2" w:themeShade="40"/>
          <w:sz w:val="24"/>
          <w:szCs w:val="24"/>
        </w:rPr>
        <w:t xml:space="preserve"> Is it subject to an Article 4 Direction</w:t>
      </w:r>
      <w:r>
        <w:rPr>
          <w:color w:val="3B3838" w:themeColor="background2" w:themeShade="40"/>
          <w:sz w:val="24"/>
          <w:szCs w:val="24"/>
        </w:rPr>
        <w:t>? Is it a Listed Building?</w:t>
      </w:r>
      <w:r w:rsidRPr="00537910">
        <w:rPr>
          <w:color w:val="3B3838" w:themeColor="background2" w:themeShade="40"/>
          <w:sz w:val="24"/>
          <w:szCs w:val="24"/>
        </w:rPr>
        <w:t xml:space="preserve"> These considerations may impact whether development to your property requires planning permission or not. An interactive map showing conservation areas and listed buildings can be </w:t>
      </w:r>
      <w:hyperlink r:id="rId7" w:anchor="/main?mapcfg=CamdenConservation&amp;lang=en-gb" w:history="1">
        <w:r w:rsidRPr="00537910">
          <w:rPr>
            <w:rStyle w:val="Hyperlink"/>
            <w:sz w:val="24"/>
            <w:szCs w:val="24"/>
          </w:rPr>
          <w:t>found here</w:t>
        </w:r>
      </w:hyperlink>
      <w:r w:rsidRPr="00537910">
        <w:rPr>
          <w:color w:val="3B3838" w:themeColor="background2" w:themeShade="40"/>
          <w:sz w:val="24"/>
          <w:szCs w:val="24"/>
        </w:rPr>
        <w:t xml:space="preserve">. Details of Article 4 Directions can be </w:t>
      </w:r>
      <w:hyperlink r:id="rId8" w:history="1">
        <w:r w:rsidRPr="00537910">
          <w:rPr>
            <w:rStyle w:val="Hyperlink"/>
            <w:sz w:val="24"/>
            <w:szCs w:val="24"/>
          </w:rPr>
          <w:t>found here</w:t>
        </w:r>
      </w:hyperlink>
      <w:r w:rsidRPr="00537910">
        <w:rPr>
          <w:color w:val="3B3838" w:themeColor="background2" w:themeShade="40"/>
          <w:sz w:val="24"/>
          <w:szCs w:val="24"/>
        </w:rPr>
        <w:t xml:space="preserve">. If you are uncertain please contact the planning service </w:t>
      </w:r>
      <w:hyperlink r:id="rId9" w:history="1">
        <w:r w:rsidRPr="00537910">
          <w:rPr>
            <w:rStyle w:val="Hyperlink"/>
            <w:color w:val="011830" w:themeColor="hyperlink" w:themeShade="40"/>
            <w:sz w:val="24"/>
            <w:szCs w:val="24"/>
          </w:rPr>
          <w:t>planning@camden.gov.uk</w:t>
        </w:r>
      </w:hyperlink>
      <w:r>
        <w:rPr>
          <w:color w:val="3B3838" w:themeColor="background2" w:themeShade="40"/>
          <w:sz w:val="28"/>
        </w:rPr>
        <w:t xml:space="preserve"> </w:t>
      </w:r>
    </w:p>
    <w:p w:rsidR="00464F6D" w:rsidRDefault="00464F6D" w:rsidP="00464F6D">
      <w:pPr>
        <w:spacing w:after="0" w:line="240" w:lineRule="auto"/>
        <w:jc w:val="both"/>
        <w:rPr>
          <w:color w:val="3B3838" w:themeColor="background2" w:themeShade="40"/>
          <w:sz w:val="28"/>
        </w:rPr>
      </w:pPr>
    </w:p>
    <w:p w:rsidR="00464F6D" w:rsidRDefault="00464F6D" w:rsidP="00464F6D">
      <w:pPr>
        <w:jc w:val="both"/>
        <w:rPr>
          <w:color w:val="3B3838" w:themeColor="background2" w:themeShade="40"/>
          <w:sz w:val="24"/>
          <w:szCs w:val="24"/>
        </w:rPr>
      </w:pPr>
      <w:r w:rsidRPr="00773268">
        <w:rPr>
          <w:rStyle w:val="Hyperlink"/>
          <w:color w:val="011830" w:themeColor="hyperlink" w:themeShade="40"/>
          <w:sz w:val="24"/>
          <w:szCs w:val="24"/>
        </w:rPr>
        <w:t>List</w:t>
      </w:r>
      <w:r w:rsidRPr="00773268">
        <w:rPr>
          <w:color w:val="3B3838" w:themeColor="background2" w:themeShade="40"/>
          <w:sz w:val="24"/>
          <w:szCs w:val="24"/>
        </w:rPr>
        <w:t>ed Buildings</w:t>
      </w:r>
      <w:r>
        <w:rPr>
          <w:color w:val="3B3838" w:themeColor="background2" w:themeShade="40"/>
          <w:sz w:val="24"/>
          <w:szCs w:val="24"/>
        </w:rPr>
        <w:t xml:space="preserve"> - </w:t>
      </w:r>
      <w:r w:rsidRPr="00842936">
        <w:rPr>
          <w:color w:val="3B3838" w:themeColor="background2" w:themeShade="40"/>
          <w:sz w:val="24"/>
          <w:szCs w:val="24"/>
        </w:rPr>
        <w:t>before embarking on any internal or external works,</w:t>
      </w:r>
      <w:r>
        <w:rPr>
          <w:color w:val="3B3838" w:themeColor="background2" w:themeShade="40"/>
          <w:sz w:val="24"/>
          <w:szCs w:val="24"/>
        </w:rPr>
        <w:t xml:space="preserve"> please</w:t>
      </w:r>
      <w:r w:rsidRPr="00842936">
        <w:rPr>
          <w:color w:val="3B3838" w:themeColor="background2" w:themeShade="40"/>
          <w:sz w:val="24"/>
          <w:szCs w:val="24"/>
        </w:rPr>
        <w:t xml:space="preserve"> discuss the matter with a member of the built heritage Conservation Team (planning@camden.gov.uk) or apply for listed building consent</w:t>
      </w:r>
      <w:r>
        <w:rPr>
          <w:color w:val="3B3838" w:themeColor="background2" w:themeShade="40"/>
          <w:sz w:val="24"/>
          <w:szCs w:val="24"/>
        </w:rPr>
        <w:t xml:space="preserve">, details </w:t>
      </w:r>
      <w:hyperlink r:id="rId10" w:history="1">
        <w:r w:rsidRPr="00773268">
          <w:rPr>
            <w:rStyle w:val="Hyperlink"/>
            <w:sz w:val="24"/>
            <w:szCs w:val="24"/>
          </w:rPr>
          <w:t>available here</w:t>
        </w:r>
      </w:hyperlink>
      <w:r w:rsidRPr="00842936">
        <w:rPr>
          <w:color w:val="3B3838" w:themeColor="background2" w:themeShade="40"/>
          <w:sz w:val="24"/>
          <w:szCs w:val="24"/>
        </w:rPr>
        <w:t>. Listed building consent is always required for works that have the potential to affect the character or special interest of a listed building.</w:t>
      </w:r>
    </w:p>
    <w:p w:rsidR="00464F6D" w:rsidRPr="00692ACA" w:rsidRDefault="00464F6D" w:rsidP="00464F6D">
      <w:pPr>
        <w:jc w:val="both"/>
        <w:rPr>
          <w:b/>
          <w:color w:val="3B3838" w:themeColor="background2" w:themeShade="40"/>
          <w:sz w:val="8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55"/>
      </w:tblGrid>
      <w:tr w:rsidR="00464F6D" w:rsidRPr="008605D1" w:rsidTr="009346EE">
        <w:tc>
          <w:tcPr>
            <w:tcW w:w="3261" w:type="dxa"/>
          </w:tcPr>
          <w:p w:rsidR="00464F6D" w:rsidRDefault="00464F6D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>No designation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(dwelling-house or flat)</w:t>
            </w:r>
          </w:p>
          <w:p w:rsidR="00464F6D" w:rsidRPr="008605D1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</w:p>
        </w:tc>
        <w:tc>
          <w:tcPr>
            <w:tcW w:w="5755" w:type="dxa"/>
          </w:tcPr>
          <w:p w:rsidR="00464F6D" w:rsidRDefault="00464F6D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Not considered development (planning permission is not required) provided that they are matching or are as similar as possible to the original door (material and design)</w:t>
            </w:r>
            <w:r w:rsidRPr="00DF1C43">
              <w:rPr>
                <w:color w:val="3B3838" w:themeColor="background2" w:themeShade="40"/>
                <w:sz w:val="24"/>
                <w:szCs w:val="24"/>
              </w:rPr>
              <w:t>.</w:t>
            </w:r>
          </w:p>
          <w:p w:rsidR="00464F6D" w:rsidRPr="008605D1" w:rsidRDefault="00464F6D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464F6D" w:rsidRPr="008605D1" w:rsidTr="009346EE">
        <w:tc>
          <w:tcPr>
            <w:tcW w:w="3261" w:type="dxa"/>
          </w:tcPr>
          <w:p w:rsidR="00464F6D" w:rsidRDefault="00464F6D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>Conservation Area (without Article 4 Direction</w:t>
            </w:r>
            <w:r>
              <w:rPr>
                <w:color w:val="3B3838" w:themeColor="background2" w:themeShade="40"/>
                <w:sz w:val="24"/>
                <w:szCs w:val="24"/>
              </w:rPr>
              <w:t>)</w:t>
            </w:r>
          </w:p>
          <w:p w:rsidR="00464F6D" w:rsidRPr="008605D1" w:rsidRDefault="00464F6D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755" w:type="dxa"/>
          </w:tcPr>
          <w:p w:rsidR="00464F6D" w:rsidRDefault="00464F6D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Not considered development (planning permission is not required) provided that they are matching or are as similar as possible to the original door (material and design)</w:t>
            </w:r>
            <w:r w:rsidRPr="00DF1C43">
              <w:rPr>
                <w:color w:val="3B3838" w:themeColor="background2" w:themeShade="40"/>
                <w:sz w:val="24"/>
                <w:szCs w:val="24"/>
              </w:rPr>
              <w:t>.</w:t>
            </w:r>
          </w:p>
          <w:p w:rsidR="00464F6D" w:rsidRPr="00444CFE" w:rsidRDefault="00464F6D" w:rsidP="009346EE">
            <w:pPr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464F6D" w:rsidRPr="008605D1" w:rsidTr="009346EE">
        <w:tc>
          <w:tcPr>
            <w:tcW w:w="3261" w:type="dxa"/>
          </w:tcPr>
          <w:p w:rsidR="00464F6D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Conservation Area (with Article 4 Direction)</w:t>
            </w:r>
          </w:p>
          <w:p w:rsidR="00464F6D" w:rsidRPr="008605D1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755" w:type="dxa"/>
          </w:tcPr>
          <w:p w:rsidR="00464F6D" w:rsidRPr="008605D1" w:rsidRDefault="00464F6D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C50335">
              <w:rPr>
                <w:b/>
                <w:color w:val="3B3838" w:themeColor="background2" w:themeShade="40"/>
                <w:sz w:val="24"/>
                <w:szCs w:val="24"/>
              </w:rPr>
              <w:t>Planning permission required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– on the front and side of the building (if it faces the road/street). </w:t>
            </w:r>
          </w:p>
        </w:tc>
      </w:tr>
      <w:tr w:rsidR="00464F6D" w:rsidRPr="008605D1" w:rsidTr="009346EE">
        <w:tc>
          <w:tcPr>
            <w:tcW w:w="3261" w:type="dxa"/>
          </w:tcPr>
          <w:p w:rsidR="00464F6D" w:rsidRPr="008605D1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Other considerations</w:t>
            </w:r>
          </w:p>
        </w:tc>
        <w:tc>
          <w:tcPr>
            <w:tcW w:w="5755" w:type="dxa"/>
          </w:tcPr>
          <w:p w:rsidR="00464F6D" w:rsidRPr="002346D4" w:rsidRDefault="00464F6D" w:rsidP="00464F6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CC7B06">
              <w:rPr>
                <w:sz w:val="24"/>
                <w:szCs w:val="24"/>
              </w:rPr>
              <w:t>the</w:t>
            </w:r>
            <w:proofErr w:type="gramEnd"/>
            <w:r w:rsidRPr="00CC7B06">
              <w:rPr>
                <w:sz w:val="24"/>
                <w:szCs w:val="24"/>
              </w:rPr>
              <w:t xml:space="preserve"> appearance and materials should match</w:t>
            </w:r>
            <w:r>
              <w:rPr>
                <w:sz w:val="24"/>
                <w:szCs w:val="24"/>
              </w:rPr>
              <w:t xml:space="preserve"> the</w:t>
            </w:r>
            <w:r w:rsidRPr="00CC7B06">
              <w:rPr>
                <w:sz w:val="24"/>
                <w:szCs w:val="24"/>
              </w:rPr>
              <w:t xml:space="preserve"> original</w:t>
            </w:r>
            <w:r>
              <w:rPr>
                <w:sz w:val="24"/>
                <w:szCs w:val="24"/>
              </w:rPr>
              <w:t xml:space="preserve"> as closely as possible</w:t>
            </w:r>
            <w:r w:rsidRPr="00CC7B06">
              <w:rPr>
                <w:sz w:val="24"/>
                <w:szCs w:val="24"/>
              </w:rPr>
              <w:t>.</w:t>
            </w:r>
          </w:p>
          <w:p w:rsidR="00464F6D" w:rsidRPr="008605D1" w:rsidRDefault="00464F6D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464F6D" w:rsidRPr="008605D1" w:rsidTr="009346EE">
        <w:tc>
          <w:tcPr>
            <w:tcW w:w="3261" w:type="dxa"/>
          </w:tcPr>
          <w:p w:rsidR="00464F6D" w:rsidRPr="0081558A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1558A">
              <w:rPr>
                <w:color w:val="3B3838" w:themeColor="background2" w:themeShade="40"/>
                <w:sz w:val="24"/>
                <w:szCs w:val="24"/>
              </w:rPr>
              <w:t>Listed Buildings</w:t>
            </w:r>
          </w:p>
        </w:tc>
        <w:tc>
          <w:tcPr>
            <w:tcW w:w="5755" w:type="dxa"/>
          </w:tcPr>
          <w:p w:rsidR="00464F6D" w:rsidRPr="00C50335" w:rsidRDefault="00464F6D" w:rsidP="009346EE">
            <w:pPr>
              <w:rPr>
                <w:b/>
                <w:color w:val="3B3838" w:themeColor="background2" w:themeShade="40"/>
                <w:sz w:val="24"/>
                <w:szCs w:val="24"/>
              </w:rPr>
            </w:pPr>
            <w:r w:rsidRPr="00C50335">
              <w:rPr>
                <w:b/>
                <w:color w:val="3B3838" w:themeColor="background2" w:themeShade="40"/>
                <w:sz w:val="24"/>
                <w:szCs w:val="24"/>
              </w:rPr>
              <w:t>Listed Building consent required</w:t>
            </w:r>
          </w:p>
          <w:p w:rsidR="00464F6D" w:rsidRDefault="00464F6D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A30DFA">
              <w:rPr>
                <w:color w:val="3B3838" w:themeColor="background2" w:themeShade="40"/>
                <w:sz w:val="24"/>
                <w:szCs w:val="24"/>
              </w:rPr>
              <w:t>These will not be appropriate if they involve the loss of historic fabric. It may be possible to draught</w:t>
            </w:r>
            <w:r>
              <w:rPr>
                <w:color w:val="3B3838" w:themeColor="background2" w:themeShade="40"/>
                <w:sz w:val="24"/>
                <w:szCs w:val="24"/>
              </w:rPr>
              <w:t>-</w:t>
            </w:r>
            <w:r w:rsidRPr="00A30DFA">
              <w:rPr>
                <w:color w:val="3B3838" w:themeColor="background2" w:themeShade="40"/>
                <w:sz w:val="24"/>
                <w:szCs w:val="24"/>
              </w:rPr>
              <w:t>proof existing doors without harming them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(a</w:t>
            </w:r>
            <w:r w:rsidRPr="00A30DFA">
              <w:rPr>
                <w:color w:val="3B3838" w:themeColor="background2" w:themeShade="40"/>
                <w:sz w:val="24"/>
                <w:szCs w:val="24"/>
              </w:rPr>
              <w:t>dvice sh</w:t>
            </w:r>
            <w:r>
              <w:rPr>
                <w:color w:val="3B3838" w:themeColor="background2" w:themeShade="40"/>
                <w:sz w:val="24"/>
                <w:szCs w:val="24"/>
              </w:rPr>
              <w:t>ould be sought from the council)</w:t>
            </w:r>
            <w:r w:rsidRPr="00A30DFA">
              <w:rPr>
                <w:color w:val="3B3838" w:themeColor="background2" w:themeShade="40"/>
                <w:sz w:val="24"/>
                <w:szCs w:val="24"/>
              </w:rPr>
              <w:t>.</w:t>
            </w:r>
          </w:p>
          <w:p w:rsidR="00464F6D" w:rsidRPr="008605D1" w:rsidRDefault="00464F6D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464F6D" w:rsidRPr="008605D1" w:rsidTr="009346EE">
        <w:tc>
          <w:tcPr>
            <w:tcW w:w="3261" w:type="dxa"/>
          </w:tcPr>
          <w:p w:rsidR="00464F6D" w:rsidRPr="0081558A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1558A">
              <w:rPr>
                <w:color w:val="3B3838" w:themeColor="background2" w:themeShade="40"/>
                <w:sz w:val="24"/>
                <w:szCs w:val="24"/>
              </w:rPr>
              <w:t>Building Regulations</w:t>
            </w:r>
          </w:p>
        </w:tc>
        <w:tc>
          <w:tcPr>
            <w:tcW w:w="5755" w:type="dxa"/>
          </w:tcPr>
          <w:p w:rsidR="00464F6D" w:rsidRPr="00303B7C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303B7C">
              <w:rPr>
                <w:color w:val="3B3838" w:themeColor="background2" w:themeShade="40"/>
                <w:sz w:val="24"/>
                <w:szCs w:val="24"/>
              </w:rPr>
              <w:t>Part L (Conservation of fuel and power)</w:t>
            </w:r>
          </w:p>
          <w:p w:rsidR="00464F6D" w:rsidRPr="00303B7C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303B7C">
              <w:rPr>
                <w:color w:val="3B3838" w:themeColor="background2" w:themeShade="40"/>
                <w:sz w:val="24"/>
                <w:szCs w:val="24"/>
              </w:rPr>
              <w:t xml:space="preserve">Part N (Glazing safety) Not needed if installer is registered </w:t>
            </w:r>
          </w:p>
          <w:p w:rsidR="00464F6D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303B7C">
              <w:rPr>
                <w:color w:val="3B3838" w:themeColor="background2" w:themeShade="40"/>
                <w:sz w:val="24"/>
                <w:szCs w:val="24"/>
              </w:rPr>
              <w:t>under the Competent Persons Scheme</w:t>
            </w:r>
          </w:p>
          <w:p w:rsidR="00464F6D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</w:p>
          <w:p w:rsidR="00464F6D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 xml:space="preserve">Planning portal, Building Regulations information on glazing and doors, see </w:t>
            </w:r>
            <w:hyperlink r:id="rId11" w:history="1">
              <w:r w:rsidRPr="00F82973">
                <w:rPr>
                  <w:rStyle w:val="Hyperlink"/>
                  <w:sz w:val="24"/>
                  <w:szCs w:val="24"/>
                </w:rPr>
                <w:t>this webpage</w:t>
              </w:r>
            </w:hyperlink>
            <w:r>
              <w:rPr>
                <w:color w:val="3B3838" w:themeColor="background2" w:themeShade="40"/>
                <w:sz w:val="24"/>
                <w:szCs w:val="24"/>
              </w:rPr>
              <w:t>.</w:t>
            </w:r>
          </w:p>
          <w:p w:rsidR="00464F6D" w:rsidRPr="008605D1" w:rsidRDefault="00464F6D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</w:tbl>
    <w:p w:rsidR="00464F6D" w:rsidRDefault="00464F6D" w:rsidP="00464F6D">
      <w:pPr>
        <w:jc w:val="both"/>
        <w:rPr>
          <w:b/>
          <w:color w:val="3B3838" w:themeColor="background2" w:themeShade="40"/>
          <w:sz w:val="24"/>
          <w:szCs w:val="24"/>
        </w:rPr>
      </w:pPr>
    </w:p>
    <w:p w:rsidR="00464F6D" w:rsidRPr="00537910" w:rsidRDefault="00464F6D" w:rsidP="00464F6D">
      <w:pPr>
        <w:jc w:val="both"/>
        <w:rPr>
          <w:b/>
          <w:color w:val="3B3838" w:themeColor="background2" w:themeShade="40"/>
          <w:sz w:val="24"/>
          <w:szCs w:val="24"/>
        </w:rPr>
      </w:pPr>
      <w:r w:rsidRPr="00537910">
        <w:rPr>
          <w:b/>
          <w:color w:val="3B3838" w:themeColor="background2" w:themeShade="40"/>
          <w:sz w:val="24"/>
          <w:szCs w:val="24"/>
        </w:rPr>
        <w:t xml:space="preserve">Applying for planning permission </w:t>
      </w:r>
    </w:p>
    <w:p w:rsidR="00464F6D" w:rsidRPr="00537910" w:rsidRDefault="00464F6D" w:rsidP="00464F6D">
      <w:pPr>
        <w:jc w:val="both"/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 xml:space="preserve">Where planning permission is required for replacement doors </w:t>
      </w:r>
      <w:r w:rsidRPr="00537910">
        <w:rPr>
          <w:color w:val="3B3838" w:themeColor="background2" w:themeShade="40"/>
          <w:sz w:val="24"/>
          <w:szCs w:val="24"/>
        </w:rPr>
        <w:t xml:space="preserve">the following information will be required alongside a full planning application form. Planning application forms can be filled in </w:t>
      </w:r>
      <w:hyperlink r:id="rId12" w:history="1">
        <w:r w:rsidRPr="00C63C0C">
          <w:rPr>
            <w:rStyle w:val="Hyperlink"/>
            <w:sz w:val="24"/>
            <w:szCs w:val="24"/>
          </w:rPr>
          <w:t>online</w:t>
        </w:r>
      </w:hyperlink>
      <w:r w:rsidRPr="00537910">
        <w:rPr>
          <w:color w:val="3B3838" w:themeColor="background2" w:themeShade="40"/>
          <w:sz w:val="24"/>
          <w:szCs w:val="24"/>
        </w:rPr>
        <w:t xml:space="preserve"> through the planning portal</w:t>
      </w:r>
      <w:r>
        <w:rPr>
          <w:color w:val="3B3838" w:themeColor="background2" w:themeShade="40"/>
          <w:sz w:val="24"/>
          <w:szCs w:val="24"/>
        </w:rPr>
        <w:t xml:space="preserve"> or other digital platforms available. </w:t>
      </w:r>
    </w:p>
    <w:p w:rsidR="00464F6D" w:rsidRPr="00537910" w:rsidRDefault="00464F6D" w:rsidP="00464F6D">
      <w:pPr>
        <w:pStyle w:val="ListParagraph"/>
        <w:numPr>
          <w:ilvl w:val="0"/>
          <w:numId w:val="2"/>
        </w:numPr>
        <w:jc w:val="both"/>
        <w:rPr>
          <w:color w:val="3B3838" w:themeColor="background2" w:themeShade="40"/>
          <w:sz w:val="24"/>
          <w:szCs w:val="24"/>
        </w:rPr>
      </w:pPr>
      <w:hyperlink r:id="rId13" w:history="1">
        <w:r w:rsidRPr="00537910">
          <w:rPr>
            <w:rStyle w:val="Hyperlink"/>
            <w:sz w:val="24"/>
            <w:szCs w:val="24"/>
          </w:rPr>
          <w:t>Site location plan</w:t>
        </w:r>
      </w:hyperlink>
    </w:p>
    <w:p w:rsidR="00464F6D" w:rsidRPr="00212625" w:rsidRDefault="00464F6D" w:rsidP="00464F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12625">
        <w:rPr>
          <w:sz w:val="24"/>
          <w:szCs w:val="24"/>
        </w:rPr>
        <w:t xml:space="preserve">Detailed drawings (1:1000 scale elevations and larger scale 1:50 or 1:10 detailed cross sections) of the </w:t>
      </w:r>
      <w:r>
        <w:rPr>
          <w:sz w:val="24"/>
          <w:szCs w:val="24"/>
        </w:rPr>
        <w:t>existing</w:t>
      </w:r>
      <w:r w:rsidRPr="00212625">
        <w:rPr>
          <w:sz w:val="24"/>
          <w:szCs w:val="24"/>
        </w:rPr>
        <w:t xml:space="preserve"> and proposed door/s, for ease of comparison. For listed buildings larger scale drawings would be required,</w:t>
      </w:r>
      <w:r>
        <w:rPr>
          <w:sz w:val="24"/>
          <w:szCs w:val="24"/>
        </w:rPr>
        <w:t xml:space="preserve"> such as</w:t>
      </w:r>
      <w:r w:rsidRPr="00212625">
        <w:rPr>
          <w:sz w:val="24"/>
          <w:szCs w:val="24"/>
        </w:rPr>
        <w:t xml:space="preserve"> scale 1:5 or 1:2.</w:t>
      </w:r>
    </w:p>
    <w:p w:rsidR="00464F6D" w:rsidRPr="00537910" w:rsidRDefault="00464F6D" w:rsidP="00464F6D">
      <w:pPr>
        <w:jc w:val="both"/>
        <w:rPr>
          <w:b/>
          <w:color w:val="3B3838" w:themeColor="background2" w:themeShade="40"/>
          <w:sz w:val="24"/>
          <w:szCs w:val="24"/>
        </w:rPr>
      </w:pPr>
      <w:r w:rsidRPr="00537910">
        <w:rPr>
          <w:b/>
          <w:color w:val="3B3838" w:themeColor="background2" w:themeShade="40"/>
          <w:sz w:val="24"/>
          <w:szCs w:val="24"/>
        </w:rPr>
        <w:t>What will be considered?</w:t>
      </w:r>
    </w:p>
    <w:p w:rsidR="00464F6D" w:rsidRPr="00825513" w:rsidRDefault="00464F6D" w:rsidP="00464F6D">
      <w:pPr>
        <w:pStyle w:val="ListParagraph"/>
        <w:numPr>
          <w:ilvl w:val="0"/>
          <w:numId w:val="1"/>
        </w:numPr>
        <w:jc w:val="both"/>
        <w:rPr>
          <w:b/>
          <w:color w:val="3B3838" w:themeColor="background2" w:themeShade="40"/>
          <w:sz w:val="24"/>
          <w:szCs w:val="24"/>
        </w:rPr>
      </w:pPr>
      <w:r w:rsidRPr="00825513">
        <w:rPr>
          <w:sz w:val="24"/>
        </w:rPr>
        <w:t>New doors should seek to match the originals that they replace, especially where the building is part of a terrace or group which shares common features. The insensitive replacement of doors can spoil the appearance of buildings and can be particularly damaging if the building forms part of a uniform group.</w:t>
      </w:r>
    </w:p>
    <w:p w:rsidR="00DF6DE4" w:rsidRDefault="00DF6DE4"/>
    <w:sectPr w:rsidR="00DF6DE4" w:rsidSect="00464F6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6D" w:rsidRDefault="00464F6D" w:rsidP="00464F6D">
      <w:pPr>
        <w:spacing w:after="0" w:line="240" w:lineRule="auto"/>
      </w:pPr>
      <w:r>
        <w:separator/>
      </w:r>
    </w:p>
  </w:endnote>
  <w:endnote w:type="continuationSeparator" w:id="0">
    <w:p w:rsidR="00464F6D" w:rsidRDefault="00464F6D" w:rsidP="0046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6D" w:rsidRDefault="00464F6D" w:rsidP="00464F6D">
      <w:pPr>
        <w:spacing w:after="0" w:line="240" w:lineRule="auto"/>
      </w:pPr>
      <w:r>
        <w:separator/>
      </w:r>
    </w:p>
  </w:footnote>
  <w:footnote w:type="continuationSeparator" w:id="0">
    <w:p w:rsidR="00464F6D" w:rsidRDefault="00464F6D" w:rsidP="00464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04B47"/>
    <w:multiLevelType w:val="hybridMultilevel"/>
    <w:tmpl w:val="E2DC99A8"/>
    <w:lvl w:ilvl="0" w:tplc="C6680C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B00A3B"/>
    <w:multiLevelType w:val="hybridMultilevel"/>
    <w:tmpl w:val="E11C990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6D"/>
    <w:rsid w:val="00464F6D"/>
    <w:rsid w:val="00D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2D917DA-2A09-433B-9FE0-9EF88EAC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F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F6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den.gov.uk/article-4-directions-heritage-and-conservation" TargetMode="External"/><Relationship Id="rId13" Type="http://schemas.openxmlformats.org/officeDocument/2006/relationships/hyperlink" Target="https://www.camden.gov.uk/types-scale-drawings-plans-planning-app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a.camden.gov.uk/connect/analyst/mobile/" TargetMode="External"/><Relationship Id="rId12" Type="http://schemas.openxmlformats.org/officeDocument/2006/relationships/hyperlink" Target="https://www.camden.gov.uk/apply-planning-permi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ningportal.co.uk/info/200130/common_projects/14/doors_and_windows/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mden.gov.uk/listed-build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nning@camden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Company>London Borough of Camden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Tulley</dc:creator>
  <cp:keywords/>
  <dc:description/>
  <cp:lastModifiedBy>Nicola Tulley</cp:lastModifiedBy>
  <cp:revision>1</cp:revision>
  <dcterms:created xsi:type="dcterms:W3CDTF">2020-12-21T12:45:00Z</dcterms:created>
  <dcterms:modified xsi:type="dcterms:W3CDTF">2020-12-21T12:46:00Z</dcterms:modified>
</cp:coreProperties>
</file>