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65EB" w14:textId="1B4B32BD" w:rsidR="000B645C" w:rsidRPr="00FD5C19" w:rsidRDefault="000B645C">
      <w:pPr>
        <w:rPr>
          <w:sz w:val="28"/>
          <w:szCs w:val="28"/>
        </w:rPr>
      </w:pPr>
      <w:r>
        <w:tab/>
      </w:r>
      <w:r>
        <w:tab/>
      </w:r>
      <w:r>
        <w:tab/>
      </w:r>
      <w:r>
        <w:tab/>
      </w:r>
      <w:r>
        <w:tab/>
      </w:r>
      <w:r w:rsidR="00F07CEC">
        <w:tab/>
      </w:r>
      <w:r w:rsidR="00F07CEC">
        <w:tab/>
      </w:r>
      <w:r w:rsidR="00F07CEC">
        <w:tab/>
      </w:r>
      <w:r w:rsidR="00F07CEC" w:rsidRPr="00FD5C19">
        <w:rPr>
          <w:sz w:val="28"/>
          <w:szCs w:val="28"/>
        </w:rPr>
        <w:tab/>
      </w:r>
      <w:r w:rsidRPr="00FD5C19">
        <w:rPr>
          <w:sz w:val="28"/>
          <w:szCs w:val="28"/>
        </w:rPr>
        <w:t xml:space="preserve">Camden ACL Pound Plus </w:t>
      </w:r>
      <w:r w:rsidR="00F07CEC" w:rsidRPr="00FD5C19">
        <w:rPr>
          <w:sz w:val="28"/>
          <w:szCs w:val="28"/>
        </w:rPr>
        <w:t>Statement</w:t>
      </w:r>
      <w:r w:rsidRPr="00FD5C19">
        <w:rPr>
          <w:sz w:val="28"/>
          <w:szCs w:val="28"/>
        </w:rPr>
        <w:t xml:space="preserve"> </w:t>
      </w:r>
      <w:r w:rsidR="00F07CEC" w:rsidRPr="00FD5C19">
        <w:rPr>
          <w:sz w:val="28"/>
          <w:szCs w:val="28"/>
        </w:rPr>
        <w:t>21/22</w:t>
      </w:r>
    </w:p>
    <w:p w14:paraId="593F7EEC" w14:textId="73F4FC26" w:rsidR="000B645C" w:rsidRDefault="000B645C"/>
    <w:p w14:paraId="255BA4DE" w14:textId="77777777" w:rsidR="000B645C" w:rsidRPr="000B645C" w:rsidRDefault="000B645C" w:rsidP="000B645C">
      <w:pPr>
        <w:autoSpaceDE w:val="0"/>
        <w:autoSpaceDN w:val="0"/>
        <w:adjustRightInd w:val="0"/>
        <w:spacing w:after="0" w:line="240" w:lineRule="auto"/>
        <w:rPr>
          <w:rFonts w:ascii="Calibri" w:hAnsi="Calibri" w:cs="Calibri"/>
          <w:color w:val="000000"/>
          <w:sz w:val="24"/>
          <w:szCs w:val="24"/>
        </w:rPr>
      </w:pPr>
    </w:p>
    <w:p w14:paraId="47D08F0C" w14:textId="77777777" w:rsidR="000B645C" w:rsidRPr="000B645C" w:rsidRDefault="000B645C" w:rsidP="000B645C">
      <w:pPr>
        <w:autoSpaceDE w:val="0"/>
        <w:autoSpaceDN w:val="0"/>
        <w:adjustRightInd w:val="0"/>
        <w:spacing w:after="0" w:line="240" w:lineRule="auto"/>
        <w:rPr>
          <w:rFonts w:ascii="Calibri" w:hAnsi="Calibri" w:cs="Calibri"/>
          <w:color w:val="000000"/>
        </w:rPr>
      </w:pPr>
      <w:r w:rsidRPr="000B645C">
        <w:rPr>
          <w:rFonts w:ascii="Calibri" w:hAnsi="Calibri" w:cs="Calibri"/>
          <w:color w:val="000000"/>
          <w:sz w:val="24"/>
          <w:szCs w:val="24"/>
        </w:rPr>
        <w:t xml:space="preserve"> </w:t>
      </w:r>
      <w:r w:rsidRPr="000B645C">
        <w:rPr>
          <w:rFonts w:ascii="Calibri" w:hAnsi="Calibri" w:cs="Calibri"/>
          <w:b/>
          <w:bCs/>
          <w:color w:val="000000"/>
        </w:rPr>
        <w:t xml:space="preserve">What is Pound Plus? </w:t>
      </w:r>
    </w:p>
    <w:p w14:paraId="270C9441" w14:textId="313CEF70" w:rsidR="000B645C" w:rsidRPr="000B645C" w:rsidRDefault="000B645C" w:rsidP="000B645C">
      <w:pPr>
        <w:autoSpaceDE w:val="0"/>
        <w:autoSpaceDN w:val="0"/>
        <w:adjustRightInd w:val="0"/>
        <w:spacing w:after="255" w:line="240" w:lineRule="auto"/>
        <w:rPr>
          <w:rFonts w:ascii="Calibri" w:hAnsi="Calibri" w:cs="Calibri"/>
          <w:color w:val="000000"/>
        </w:rPr>
      </w:pPr>
      <w:r w:rsidRPr="000B645C">
        <w:rPr>
          <w:rFonts w:ascii="Calibri" w:hAnsi="Calibri" w:cs="Calibri"/>
          <w:color w:val="000000"/>
        </w:rPr>
        <w:t xml:space="preserve">1. ‘Pound </w:t>
      </w:r>
      <w:proofErr w:type="spellStart"/>
      <w:r w:rsidRPr="000B645C">
        <w:rPr>
          <w:rFonts w:ascii="Calibri" w:hAnsi="Calibri" w:cs="Calibri"/>
          <w:color w:val="000000"/>
        </w:rPr>
        <w:t>Plus’</w:t>
      </w:r>
      <w:proofErr w:type="spellEnd"/>
      <w:r w:rsidRPr="000B645C">
        <w:rPr>
          <w:rFonts w:ascii="Calibri" w:hAnsi="Calibri" w:cs="Calibri"/>
          <w:color w:val="000000"/>
        </w:rPr>
        <w:t xml:space="preserve"> is a term that we us</w:t>
      </w:r>
      <w:r>
        <w:rPr>
          <w:rFonts w:ascii="Calibri" w:hAnsi="Calibri" w:cs="Calibri"/>
          <w:color w:val="000000"/>
        </w:rPr>
        <w:t>e</w:t>
      </w:r>
      <w:r w:rsidRPr="000B645C">
        <w:rPr>
          <w:rFonts w:ascii="Calibri" w:hAnsi="Calibri" w:cs="Calibri"/>
          <w:color w:val="000000"/>
        </w:rPr>
        <w:t xml:space="preserve"> to describe how learning providers can show how they are maximising the value of public investment. Generating additional income and revenue is central to the objective of driving up participation within a very constrained public funding environment. </w:t>
      </w:r>
    </w:p>
    <w:p w14:paraId="28A053BD" w14:textId="77777777" w:rsidR="000B645C" w:rsidRPr="000B645C" w:rsidRDefault="000B645C" w:rsidP="000B645C">
      <w:pPr>
        <w:autoSpaceDE w:val="0"/>
        <w:autoSpaceDN w:val="0"/>
        <w:adjustRightInd w:val="0"/>
        <w:spacing w:after="0" w:line="240" w:lineRule="auto"/>
        <w:rPr>
          <w:rFonts w:ascii="Calibri" w:hAnsi="Calibri" w:cs="Calibri"/>
          <w:color w:val="000000"/>
        </w:rPr>
      </w:pPr>
      <w:r w:rsidRPr="000B645C">
        <w:rPr>
          <w:rFonts w:ascii="Calibri" w:hAnsi="Calibri" w:cs="Calibri"/>
          <w:color w:val="000000"/>
        </w:rPr>
        <w:t xml:space="preserve">2. Pound Plus refers to </w:t>
      </w:r>
      <w:r w:rsidRPr="000B645C">
        <w:rPr>
          <w:rFonts w:ascii="Calibri" w:hAnsi="Calibri" w:cs="Calibri"/>
          <w:i/>
          <w:iCs/>
          <w:color w:val="000000"/>
        </w:rPr>
        <w:t xml:space="preserve">additional </w:t>
      </w:r>
      <w:r w:rsidRPr="000B645C">
        <w:rPr>
          <w:rFonts w:ascii="Calibri" w:hAnsi="Calibri" w:cs="Calibri"/>
          <w:color w:val="000000"/>
        </w:rPr>
        <w:t xml:space="preserve">income generated by providers </w:t>
      </w:r>
      <w:r w:rsidRPr="000B645C">
        <w:rPr>
          <w:rFonts w:ascii="Calibri" w:hAnsi="Calibri" w:cs="Calibri"/>
          <w:i/>
          <w:iCs/>
          <w:color w:val="000000"/>
        </w:rPr>
        <w:t xml:space="preserve">over and above </w:t>
      </w:r>
      <w:r w:rsidRPr="000B645C">
        <w:rPr>
          <w:rFonts w:ascii="Calibri" w:hAnsi="Calibri" w:cs="Calibri"/>
          <w:color w:val="000000"/>
        </w:rPr>
        <w:t xml:space="preserve">core income from the Government’s Community Learning budget (and/or other core income sources used historically to fund community learning). This includes income generated through course fees, financial sponsorship, access to new learning spaces made available at no or reduced cost; the use of volunteer workers; donations of equipment or consumable items; access to other funding sources or grants. </w:t>
      </w:r>
    </w:p>
    <w:p w14:paraId="187A3B8A" w14:textId="77777777" w:rsidR="000B645C" w:rsidRDefault="000B645C"/>
    <w:p w14:paraId="3A17CDC6" w14:textId="75F75369" w:rsidR="000B645C" w:rsidRDefault="00E57950">
      <w:pPr>
        <w:rPr>
          <w:b/>
          <w:bCs/>
        </w:rPr>
      </w:pPr>
      <w:r w:rsidRPr="00E57950">
        <w:rPr>
          <w:b/>
          <w:bCs/>
        </w:rPr>
        <w:t>Purpose</w:t>
      </w:r>
    </w:p>
    <w:p w14:paraId="1BDDCA45" w14:textId="6200F6C8" w:rsidR="00E57950" w:rsidRPr="00E57950" w:rsidRDefault="00E57950">
      <w:r>
        <w:t xml:space="preserve">We produce a formal pound plus policy and statement </w:t>
      </w:r>
      <w:proofErr w:type="gramStart"/>
      <w:r>
        <w:t>in order to</w:t>
      </w:r>
      <w:proofErr w:type="gramEnd"/>
      <w:r>
        <w:t xml:space="preserve"> be compliant with the GLA and ESFA funding regulations but also to have a methodology that provides some insight into the range of other funding that is brought into the service both in kind and actuals that relate to our AEB settlement.</w:t>
      </w:r>
      <w:r w:rsidR="00BC5053">
        <w:t xml:space="preserve"> The idea of leveraging in kind contributions is very much at the heart of the working business model of Camden ACL and allows the Service to fully leverage its capacity to impact local people in Camden.</w:t>
      </w:r>
    </w:p>
    <w:p w14:paraId="6AF38248" w14:textId="5697D07D" w:rsidR="000B645C" w:rsidRPr="00FD5C19" w:rsidRDefault="00FD5C19">
      <w:pPr>
        <w:rPr>
          <w:b/>
          <w:bCs/>
        </w:rPr>
      </w:pPr>
      <w:r w:rsidRPr="00FD5C19">
        <w:rPr>
          <w:b/>
          <w:bCs/>
        </w:rPr>
        <w:t>Pound Plus Service outline 21-22</w:t>
      </w:r>
    </w:p>
    <w:p w14:paraId="03EC192F" w14:textId="246A9DE7" w:rsidR="00863EF1" w:rsidRDefault="00581090">
      <w:r>
        <w:t>Camden ACL p</w:t>
      </w:r>
      <w:r w:rsidR="00BA2F05">
        <w:t>ound plus position statement 2021</w:t>
      </w:r>
      <w:r w:rsidR="009B3CA7">
        <w:t>-</w:t>
      </w:r>
      <w:r w:rsidR="00BA2F05">
        <w:t>202</w:t>
      </w:r>
      <w:r w:rsidR="00E87660">
        <w:t>2</w:t>
      </w:r>
      <w:r w:rsidR="00F7102D">
        <w:t>. The figures in the statements</w:t>
      </w:r>
      <w:r w:rsidR="00C81DA8">
        <w:t xml:space="preserve"> below</w:t>
      </w:r>
      <w:r w:rsidR="00F7102D">
        <w:t xml:space="preserve"> are approximations as it relates to an ongoing year. They do provide a sense of the scope of investment and are shown here for illustrative purposes to provide a flavour of how the Service leverages in kind and extra income:</w:t>
      </w:r>
      <w:r w:rsidR="00BA2F05">
        <w:t xml:space="preserve"> </w:t>
      </w:r>
    </w:p>
    <w:p w14:paraId="138ED98C" w14:textId="77777777" w:rsidR="00863EF1" w:rsidRDefault="00863EF1"/>
    <w:tbl>
      <w:tblPr>
        <w:tblStyle w:val="TableGrid"/>
        <w:tblW w:w="0" w:type="auto"/>
        <w:tblLook w:val="04A0" w:firstRow="1" w:lastRow="0" w:firstColumn="1" w:lastColumn="0" w:noHBand="0" w:noVBand="1"/>
      </w:tblPr>
      <w:tblGrid>
        <w:gridCol w:w="4695"/>
        <w:gridCol w:w="4655"/>
      </w:tblGrid>
      <w:tr w:rsidR="00863EF1" w14:paraId="4AE736DA" w14:textId="77777777" w:rsidTr="00863EF1">
        <w:tc>
          <w:tcPr>
            <w:tcW w:w="4788" w:type="dxa"/>
          </w:tcPr>
          <w:p w14:paraId="6A3C8F8C" w14:textId="77777777" w:rsidR="00863EF1" w:rsidRDefault="00863EF1" w:rsidP="00863EF1">
            <w:pPr>
              <w:pStyle w:val="Default"/>
              <w:rPr>
                <w:sz w:val="22"/>
                <w:szCs w:val="22"/>
              </w:rPr>
            </w:pPr>
            <w:r>
              <w:rPr>
                <w:sz w:val="22"/>
                <w:szCs w:val="22"/>
              </w:rPr>
              <w:t xml:space="preserve">Fee Income </w:t>
            </w:r>
          </w:p>
          <w:p w14:paraId="305BD6D6" w14:textId="77777777" w:rsidR="00863EF1" w:rsidRDefault="00863EF1" w:rsidP="00863EF1">
            <w:r>
              <w:t xml:space="preserve">(Courses on the ILR) </w:t>
            </w:r>
          </w:p>
          <w:p w14:paraId="4E4D9593" w14:textId="77777777" w:rsidR="00863EF1" w:rsidRDefault="00863EF1" w:rsidP="00863EF1">
            <w:pPr>
              <w:pStyle w:val="Default"/>
              <w:rPr>
                <w:sz w:val="22"/>
                <w:szCs w:val="22"/>
              </w:rPr>
            </w:pPr>
            <w:r>
              <w:rPr>
                <w:sz w:val="22"/>
                <w:szCs w:val="22"/>
              </w:rPr>
              <w:t xml:space="preserve">Analysis will quantify: </w:t>
            </w:r>
          </w:p>
          <w:p w14:paraId="11700D55" w14:textId="77777777" w:rsidR="00863EF1" w:rsidRDefault="00863EF1" w:rsidP="00863EF1">
            <w:pPr>
              <w:pStyle w:val="Default"/>
              <w:rPr>
                <w:rFonts w:ascii="Arial" w:hAnsi="Arial" w:cs="Arial"/>
                <w:sz w:val="22"/>
                <w:szCs w:val="22"/>
              </w:rPr>
            </w:pPr>
            <w:r>
              <w:rPr>
                <w:rFonts w:ascii="Arial" w:hAnsi="Arial" w:cs="Arial"/>
                <w:sz w:val="22"/>
                <w:szCs w:val="22"/>
              </w:rPr>
              <w:t xml:space="preserve">- total fee income generated </w:t>
            </w:r>
          </w:p>
          <w:p w14:paraId="12BC430F" w14:textId="77777777" w:rsidR="00863EF1" w:rsidRDefault="00863EF1" w:rsidP="00863EF1">
            <w:pPr>
              <w:pStyle w:val="Default"/>
              <w:rPr>
                <w:sz w:val="22"/>
                <w:szCs w:val="22"/>
              </w:rPr>
            </w:pPr>
            <w:r>
              <w:rPr>
                <w:rFonts w:ascii="Arial" w:hAnsi="Arial" w:cs="Arial"/>
                <w:sz w:val="22"/>
                <w:szCs w:val="22"/>
              </w:rPr>
              <w:t xml:space="preserve">- </w:t>
            </w:r>
            <w:r>
              <w:rPr>
                <w:sz w:val="22"/>
                <w:szCs w:val="22"/>
              </w:rPr>
              <w:t xml:space="preserve">the relationship between fee income and deprivation </w:t>
            </w:r>
          </w:p>
          <w:p w14:paraId="5B654D5F" w14:textId="77777777" w:rsidR="00863EF1" w:rsidRDefault="00863EF1" w:rsidP="00863EF1">
            <w:pPr>
              <w:pStyle w:val="Default"/>
              <w:rPr>
                <w:rFonts w:ascii="Arial" w:hAnsi="Arial" w:cs="Arial"/>
                <w:sz w:val="22"/>
                <w:szCs w:val="22"/>
              </w:rPr>
            </w:pPr>
            <w:r>
              <w:rPr>
                <w:rFonts w:ascii="Arial" w:hAnsi="Arial" w:cs="Arial"/>
                <w:sz w:val="22"/>
                <w:szCs w:val="22"/>
              </w:rPr>
              <w:t xml:space="preserve">- fee collected per guided learning hour. </w:t>
            </w:r>
          </w:p>
          <w:p w14:paraId="585614D2" w14:textId="77777777" w:rsidR="00863EF1" w:rsidRDefault="00863EF1" w:rsidP="00863EF1"/>
          <w:p w14:paraId="796997EC" w14:textId="77777777" w:rsidR="00863EF1" w:rsidRDefault="00863EF1" w:rsidP="00863EF1"/>
          <w:p w14:paraId="62F63E8E" w14:textId="77777777" w:rsidR="00863EF1" w:rsidRDefault="00863EF1" w:rsidP="00863EF1"/>
        </w:tc>
        <w:tc>
          <w:tcPr>
            <w:tcW w:w="4788" w:type="dxa"/>
          </w:tcPr>
          <w:p w14:paraId="1BCAB750" w14:textId="568ED37A" w:rsidR="00863EF1" w:rsidRDefault="000B645C">
            <w:r>
              <w:t>Not applicable</w:t>
            </w:r>
            <w:r w:rsidR="00505CCF">
              <w:t>- Camden ACL does not levy fee on learners. This has a positive advantage as we rarely pay venue costs with partners for delivery.</w:t>
            </w:r>
          </w:p>
        </w:tc>
      </w:tr>
      <w:tr w:rsidR="00863EF1" w14:paraId="747E6A49" w14:textId="77777777" w:rsidTr="00863EF1">
        <w:tc>
          <w:tcPr>
            <w:tcW w:w="4788" w:type="dxa"/>
          </w:tcPr>
          <w:p w14:paraId="23302B47" w14:textId="77777777" w:rsidR="007F5606" w:rsidRDefault="007F5606" w:rsidP="00863EF1">
            <w:r>
              <w:t>Contributions in kind</w:t>
            </w:r>
          </w:p>
          <w:p w14:paraId="09F913B8" w14:textId="77777777" w:rsidR="00863EF1" w:rsidRDefault="00863EF1" w:rsidP="007F5606">
            <w:pPr>
              <w:pStyle w:val="ListParagraph"/>
              <w:numPr>
                <w:ilvl w:val="0"/>
                <w:numId w:val="11"/>
              </w:numPr>
            </w:pPr>
            <w:r>
              <w:t>Accommodation</w:t>
            </w:r>
          </w:p>
          <w:p w14:paraId="337633EA" w14:textId="77777777" w:rsidR="00863EF1" w:rsidRDefault="00863EF1" w:rsidP="007F5606">
            <w:pPr>
              <w:pStyle w:val="ListParagraph"/>
              <w:numPr>
                <w:ilvl w:val="0"/>
                <w:numId w:val="11"/>
              </w:numPr>
            </w:pPr>
            <w:r>
              <w:t>Staff</w:t>
            </w:r>
          </w:p>
          <w:p w14:paraId="58B26914" w14:textId="77777777" w:rsidR="00863EF1" w:rsidRDefault="00863EF1" w:rsidP="007F5606">
            <w:pPr>
              <w:pStyle w:val="ListParagraph"/>
              <w:numPr>
                <w:ilvl w:val="0"/>
                <w:numId w:val="11"/>
              </w:numPr>
            </w:pPr>
            <w:r>
              <w:t>Services (</w:t>
            </w:r>
            <w:proofErr w:type="gramStart"/>
            <w:r>
              <w:t>e.g.</w:t>
            </w:r>
            <w:proofErr w:type="gramEnd"/>
            <w:r>
              <w:t xml:space="preserve"> IT support)</w:t>
            </w:r>
          </w:p>
          <w:p w14:paraId="4F7612A2" w14:textId="77777777" w:rsidR="00863EF1" w:rsidRDefault="00863EF1" w:rsidP="007F5606">
            <w:pPr>
              <w:pStyle w:val="ListParagraph"/>
              <w:numPr>
                <w:ilvl w:val="0"/>
                <w:numId w:val="11"/>
              </w:numPr>
            </w:pPr>
            <w:r>
              <w:t>Consultancy/expertise</w:t>
            </w:r>
          </w:p>
          <w:p w14:paraId="7FB5C00B" w14:textId="77777777" w:rsidR="00863EF1" w:rsidRDefault="00863EF1" w:rsidP="007F5606">
            <w:pPr>
              <w:pStyle w:val="ListParagraph"/>
              <w:numPr>
                <w:ilvl w:val="0"/>
                <w:numId w:val="11"/>
              </w:numPr>
            </w:pPr>
            <w:r>
              <w:t>Equipment (</w:t>
            </w:r>
            <w:proofErr w:type="gramStart"/>
            <w:r>
              <w:t>e.g.</w:t>
            </w:r>
            <w:proofErr w:type="gramEnd"/>
            <w:r>
              <w:t xml:space="preserve"> computers).</w:t>
            </w:r>
          </w:p>
        </w:tc>
        <w:tc>
          <w:tcPr>
            <w:tcW w:w="4788" w:type="dxa"/>
          </w:tcPr>
          <w:p w14:paraId="7A95551D" w14:textId="77777777" w:rsidR="00A8377D" w:rsidRDefault="00A8377D" w:rsidP="00A8377D">
            <w:pPr>
              <w:pStyle w:val="ListParagraph"/>
              <w:numPr>
                <w:ilvl w:val="0"/>
                <w:numId w:val="11"/>
              </w:numPr>
              <w:ind w:left="457"/>
            </w:pPr>
            <w:r w:rsidRPr="00A8377D">
              <w:rPr>
                <w:u w:val="single"/>
              </w:rPr>
              <w:t>Accommodation</w:t>
            </w:r>
            <w:r>
              <w:t xml:space="preserve"> </w:t>
            </w:r>
          </w:p>
          <w:p w14:paraId="4DEF21C3" w14:textId="58BBA110" w:rsidR="004F7CE9" w:rsidRDefault="004F7CE9" w:rsidP="00A8377D">
            <w:pPr>
              <w:pStyle w:val="ListParagraph"/>
              <w:numPr>
                <w:ilvl w:val="0"/>
                <w:numId w:val="11"/>
              </w:numPr>
              <w:ind w:left="457"/>
            </w:pPr>
            <w:r>
              <w:rPr>
                <w:u w:val="single"/>
              </w:rPr>
              <w:t>Accommodation for self</w:t>
            </w:r>
            <w:r w:rsidR="00FD5C19">
              <w:rPr>
                <w:u w:val="single"/>
              </w:rPr>
              <w:t>-</w:t>
            </w:r>
            <w:r>
              <w:rPr>
                <w:u w:val="single"/>
              </w:rPr>
              <w:t>organised learning groups/clubs</w:t>
            </w:r>
          </w:p>
          <w:p w14:paraId="69EF02CA" w14:textId="77777777" w:rsidR="00A8377D" w:rsidRDefault="00A8377D" w:rsidP="00A8377D">
            <w:pPr>
              <w:pStyle w:val="ListParagraph"/>
              <w:numPr>
                <w:ilvl w:val="0"/>
                <w:numId w:val="11"/>
              </w:numPr>
              <w:ind w:left="457"/>
            </w:pPr>
            <w:r>
              <w:t>Staff</w:t>
            </w:r>
          </w:p>
          <w:p w14:paraId="114AEE21" w14:textId="77777777" w:rsidR="00A8377D" w:rsidRDefault="00A8377D" w:rsidP="00A8377D">
            <w:pPr>
              <w:pStyle w:val="ListParagraph"/>
              <w:numPr>
                <w:ilvl w:val="0"/>
                <w:numId w:val="11"/>
              </w:numPr>
              <w:ind w:left="457"/>
            </w:pPr>
            <w:r>
              <w:t>Services (</w:t>
            </w:r>
            <w:proofErr w:type="gramStart"/>
            <w:r>
              <w:t>e.g.</w:t>
            </w:r>
            <w:proofErr w:type="gramEnd"/>
            <w:r>
              <w:t xml:space="preserve"> IT support)</w:t>
            </w:r>
          </w:p>
          <w:p w14:paraId="029E2D4D" w14:textId="77777777" w:rsidR="00A8377D" w:rsidRDefault="00A8377D" w:rsidP="00A8377D">
            <w:pPr>
              <w:pStyle w:val="ListParagraph"/>
              <w:numPr>
                <w:ilvl w:val="0"/>
                <w:numId w:val="11"/>
              </w:numPr>
              <w:ind w:left="457"/>
            </w:pPr>
            <w:r>
              <w:t>Consultancy/expertise</w:t>
            </w:r>
          </w:p>
          <w:p w14:paraId="694A9C36" w14:textId="77777777" w:rsidR="00A8377D" w:rsidRDefault="00A8377D" w:rsidP="00A8377D">
            <w:pPr>
              <w:pStyle w:val="ListParagraph"/>
              <w:numPr>
                <w:ilvl w:val="0"/>
                <w:numId w:val="11"/>
              </w:numPr>
              <w:ind w:left="457"/>
            </w:pPr>
            <w:r>
              <w:t>Equipment (</w:t>
            </w:r>
            <w:proofErr w:type="gramStart"/>
            <w:r>
              <w:t>e.g.</w:t>
            </w:r>
            <w:proofErr w:type="gramEnd"/>
            <w:r>
              <w:t xml:space="preserve"> computers).</w:t>
            </w:r>
          </w:p>
          <w:p w14:paraId="0938F2CB" w14:textId="1809CB20" w:rsidR="00505CCF" w:rsidRDefault="00505CCF" w:rsidP="00A8377D">
            <w:pPr>
              <w:pStyle w:val="ListParagraph"/>
              <w:numPr>
                <w:ilvl w:val="0"/>
                <w:numId w:val="11"/>
              </w:numPr>
              <w:ind w:left="457"/>
            </w:pPr>
            <w:proofErr w:type="gramStart"/>
            <w:r>
              <w:t>The majority of</w:t>
            </w:r>
            <w:proofErr w:type="gramEnd"/>
            <w:r>
              <w:t xml:space="preserve"> learning venues </w:t>
            </w:r>
            <w:r w:rsidR="00DD461B">
              <w:t>are free to use approximately £150,000</w:t>
            </w:r>
            <w:r w:rsidR="00E57B15">
              <w:t xml:space="preserve"> -£250,000</w:t>
            </w:r>
          </w:p>
          <w:p w14:paraId="093C9720" w14:textId="17368A38" w:rsidR="00BC5053" w:rsidRDefault="00BC5053" w:rsidP="00A8377D">
            <w:pPr>
              <w:pStyle w:val="ListParagraph"/>
              <w:numPr>
                <w:ilvl w:val="0"/>
                <w:numId w:val="11"/>
              </w:numPr>
              <w:ind w:left="457"/>
            </w:pPr>
            <w:r>
              <w:t>Free Use of British Museum Conferencing £23,000</w:t>
            </w:r>
          </w:p>
        </w:tc>
      </w:tr>
      <w:tr w:rsidR="007F5606" w14:paraId="06A80D59" w14:textId="77777777" w:rsidTr="00863EF1">
        <w:tc>
          <w:tcPr>
            <w:tcW w:w="4788" w:type="dxa"/>
          </w:tcPr>
          <w:p w14:paraId="30C0642D" w14:textId="57D606A1" w:rsidR="007F5606" w:rsidRDefault="007F5606" w:rsidP="007F5606">
            <w:pPr>
              <w:pStyle w:val="Default"/>
              <w:rPr>
                <w:sz w:val="22"/>
                <w:szCs w:val="22"/>
              </w:rPr>
            </w:pPr>
            <w:r>
              <w:rPr>
                <w:sz w:val="22"/>
                <w:szCs w:val="22"/>
              </w:rPr>
              <w:t>Shared services</w:t>
            </w:r>
            <w:r w:rsidR="00EF43F3">
              <w:rPr>
                <w:sz w:val="22"/>
                <w:szCs w:val="22"/>
              </w:rPr>
              <w:t xml:space="preserve"> with partners</w:t>
            </w:r>
            <w:r>
              <w:rPr>
                <w:sz w:val="22"/>
                <w:szCs w:val="22"/>
              </w:rPr>
              <w:t xml:space="preserve"> </w:t>
            </w:r>
            <w:proofErr w:type="gramStart"/>
            <w:r>
              <w:rPr>
                <w:sz w:val="22"/>
                <w:szCs w:val="22"/>
              </w:rPr>
              <w:t>-  more</w:t>
            </w:r>
            <w:proofErr w:type="gramEnd"/>
            <w:r>
              <w:rPr>
                <w:sz w:val="22"/>
                <w:szCs w:val="22"/>
              </w:rPr>
              <w:t xml:space="preserve"> efficient systems, services and processes developed directly as a consequence of </w:t>
            </w:r>
            <w:r w:rsidR="00EF43F3">
              <w:rPr>
                <w:sz w:val="22"/>
                <w:szCs w:val="22"/>
              </w:rPr>
              <w:t>partnership working</w:t>
            </w:r>
          </w:p>
          <w:p w14:paraId="5FCFF208" w14:textId="77777777" w:rsidR="007F5606" w:rsidRDefault="007F5606" w:rsidP="007F5606">
            <w:pPr>
              <w:pStyle w:val="Default"/>
              <w:rPr>
                <w:sz w:val="22"/>
                <w:szCs w:val="22"/>
              </w:rPr>
            </w:pPr>
            <w:r>
              <w:rPr>
                <w:sz w:val="22"/>
                <w:szCs w:val="22"/>
              </w:rPr>
              <w:t xml:space="preserve">Shared services could include: </w:t>
            </w:r>
          </w:p>
          <w:p w14:paraId="4784F506" w14:textId="77777777" w:rsidR="007F5606" w:rsidRDefault="007F5606" w:rsidP="007F5606">
            <w:pPr>
              <w:pStyle w:val="Default"/>
              <w:numPr>
                <w:ilvl w:val="0"/>
                <w:numId w:val="8"/>
              </w:numPr>
              <w:rPr>
                <w:sz w:val="22"/>
                <w:szCs w:val="22"/>
              </w:rPr>
            </w:pPr>
            <w:r>
              <w:rPr>
                <w:sz w:val="22"/>
                <w:szCs w:val="22"/>
              </w:rPr>
              <w:t xml:space="preserve">Shared IT infrastructure or IT support </w:t>
            </w:r>
          </w:p>
          <w:p w14:paraId="6B44ABD8" w14:textId="77777777" w:rsidR="00EF43F3" w:rsidRDefault="007F5606" w:rsidP="007F5606">
            <w:pPr>
              <w:pStyle w:val="Default"/>
              <w:numPr>
                <w:ilvl w:val="0"/>
                <w:numId w:val="8"/>
              </w:numPr>
              <w:rPr>
                <w:sz w:val="22"/>
                <w:szCs w:val="22"/>
              </w:rPr>
            </w:pPr>
            <w:r>
              <w:rPr>
                <w:sz w:val="22"/>
                <w:szCs w:val="22"/>
              </w:rPr>
              <w:t>Coordinated marketing and promotion</w:t>
            </w:r>
          </w:p>
          <w:p w14:paraId="52B8B208" w14:textId="21AF79CB" w:rsidR="007F5606" w:rsidRDefault="007F5606" w:rsidP="000F515C">
            <w:pPr>
              <w:pStyle w:val="Default"/>
              <w:rPr>
                <w:sz w:val="22"/>
                <w:szCs w:val="22"/>
              </w:rPr>
            </w:pPr>
          </w:p>
          <w:p w14:paraId="0A154026" w14:textId="77777777" w:rsidR="007F5606" w:rsidRDefault="007F5606" w:rsidP="00EF43F3">
            <w:pPr>
              <w:pStyle w:val="Default"/>
              <w:ind w:left="1080"/>
            </w:pPr>
          </w:p>
        </w:tc>
        <w:tc>
          <w:tcPr>
            <w:tcW w:w="4788" w:type="dxa"/>
          </w:tcPr>
          <w:p w14:paraId="6C4AA4FA" w14:textId="0BBEC0FD" w:rsidR="007F5606" w:rsidRDefault="003C2261">
            <w:r>
              <w:t>£</w:t>
            </w:r>
            <w:r w:rsidR="000F515C">
              <w:t>30</w:t>
            </w:r>
            <w:r>
              <w:t>,000</w:t>
            </w:r>
            <w:r w:rsidR="00B67680">
              <w:t xml:space="preserve"> </w:t>
            </w:r>
            <w:r w:rsidR="00916F16">
              <w:t xml:space="preserve"> with partners</w:t>
            </w:r>
          </w:p>
        </w:tc>
      </w:tr>
      <w:tr w:rsidR="00863EF1" w14:paraId="134613CF" w14:textId="77777777" w:rsidTr="00863EF1">
        <w:tc>
          <w:tcPr>
            <w:tcW w:w="4788" w:type="dxa"/>
          </w:tcPr>
          <w:p w14:paraId="7814D2FD" w14:textId="77777777" w:rsidR="00863EF1" w:rsidRDefault="00863EF1" w:rsidP="00863EF1">
            <w:pPr>
              <w:pStyle w:val="Default"/>
            </w:pPr>
            <w:r>
              <w:rPr>
                <w:sz w:val="22"/>
                <w:szCs w:val="22"/>
              </w:rPr>
              <w:t xml:space="preserve">Use of Volunteers for supporting the infrastructure of Community Learning </w:t>
            </w:r>
          </w:p>
          <w:p w14:paraId="51EF34F0" w14:textId="77777777" w:rsidR="00863EF1" w:rsidRDefault="00863EF1" w:rsidP="00863EF1">
            <w:pPr>
              <w:pStyle w:val="Default"/>
              <w:rPr>
                <w:sz w:val="22"/>
                <w:szCs w:val="22"/>
              </w:rPr>
            </w:pPr>
            <w:r>
              <w:rPr>
                <w:sz w:val="22"/>
                <w:szCs w:val="22"/>
              </w:rPr>
              <w:t xml:space="preserve">Examples of the use volunteers include: </w:t>
            </w:r>
          </w:p>
          <w:p w14:paraId="60CEACEF" w14:textId="77777777" w:rsidR="00863EF1" w:rsidRDefault="00863EF1" w:rsidP="00863EF1">
            <w:pPr>
              <w:pStyle w:val="Default"/>
              <w:numPr>
                <w:ilvl w:val="0"/>
                <w:numId w:val="4"/>
              </w:numPr>
              <w:rPr>
                <w:sz w:val="22"/>
                <w:szCs w:val="22"/>
              </w:rPr>
            </w:pPr>
            <w:r>
              <w:rPr>
                <w:sz w:val="22"/>
                <w:szCs w:val="22"/>
              </w:rPr>
              <w:t xml:space="preserve">Identifying and promoting community needs </w:t>
            </w:r>
          </w:p>
          <w:p w14:paraId="73CD2D2E" w14:textId="77777777" w:rsidR="00863EF1" w:rsidRDefault="00863EF1" w:rsidP="00863EF1">
            <w:pPr>
              <w:pStyle w:val="Default"/>
              <w:numPr>
                <w:ilvl w:val="0"/>
                <w:numId w:val="4"/>
              </w:numPr>
              <w:rPr>
                <w:sz w:val="22"/>
                <w:szCs w:val="22"/>
              </w:rPr>
            </w:pPr>
            <w:r>
              <w:rPr>
                <w:sz w:val="22"/>
                <w:szCs w:val="22"/>
              </w:rPr>
              <w:t xml:space="preserve">Supporting curriculum development </w:t>
            </w:r>
          </w:p>
          <w:p w14:paraId="214B2E2E" w14:textId="77777777" w:rsidR="00863EF1" w:rsidRDefault="00863EF1" w:rsidP="00863EF1">
            <w:pPr>
              <w:pStyle w:val="Default"/>
              <w:numPr>
                <w:ilvl w:val="0"/>
                <w:numId w:val="4"/>
              </w:numPr>
              <w:rPr>
                <w:sz w:val="22"/>
                <w:szCs w:val="22"/>
              </w:rPr>
            </w:pPr>
            <w:r>
              <w:rPr>
                <w:sz w:val="22"/>
                <w:szCs w:val="22"/>
              </w:rPr>
              <w:t xml:space="preserve">Signposting and providing advice/guidance to potential learners </w:t>
            </w:r>
          </w:p>
          <w:p w14:paraId="5C3766E9" w14:textId="77777777" w:rsidR="00863EF1" w:rsidRDefault="00863EF1" w:rsidP="00863EF1">
            <w:pPr>
              <w:pStyle w:val="Default"/>
              <w:numPr>
                <w:ilvl w:val="0"/>
                <w:numId w:val="4"/>
              </w:numPr>
              <w:rPr>
                <w:sz w:val="22"/>
                <w:szCs w:val="22"/>
              </w:rPr>
            </w:pPr>
            <w:r>
              <w:rPr>
                <w:sz w:val="22"/>
                <w:szCs w:val="22"/>
              </w:rPr>
              <w:t xml:space="preserve">Infrastructure support </w:t>
            </w:r>
          </w:p>
          <w:p w14:paraId="5473EE6E" w14:textId="77777777" w:rsidR="00863EF1" w:rsidRDefault="00863EF1" w:rsidP="00863EF1">
            <w:pPr>
              <w:pStyle w:val="Default"/>
              <w:numPr>
                <w:ilvl w:val="0"/>
                <w:numId w:val="4"/>
              </w:numPr>
              <w:rPr>
                <w:sz w:val="22"/>
                <w:szCs w:val="22"/>
              </w:rPr>
            </w:pPr>
            <w:r>
              <w:rPr>
                <w:sz w:val="22"/>
                <w:szCs w:val="22"/>
              </w:rPr>
              <w:t xml:space="preserve">Delivery support. </w:t>
            </w:r>
          </w:p>
          <w:p w14:paraId="7E8EE07A" w14:textId="77777777" w:rsidR="00863EF1" w:rsidRDefault="00863EF1"/>
        </w:tc>
        <w:tc>
          <w:tcPr>
            <w:tcW w:w="4788" w:type="dxa"/>
          </w:tcPr>
          <w:p w14:paraId="48E093BD" w14:textId="77777777" w:rsidR="00863EF1" w:rsidRDefault="00863EF1"/>
          <w:p w14:paraId="4A46A573" w14:textId="0BC3AB33" w:rsidR="000B645C" w:rsidRDefault="000B645C">
            <w:r>
              <w:t xml:space="preserve">Volunteers in the Service often provide the role </w:t>
            </w:r>
            <w:r w:rsidR="00652149">
              <w:t>of TA offering an approximate £11,000.</w:t>
            </w:r>
          </w:p>
        </w:tc>
      </w:tr>
      <w:tr w:rsidR="00863EF1" w14:paraId="09305BA0" w14:textId="77777777" w:rsidTr="00863EF1">
        <w:tc>
          <w:tcPr>
            <w:tcW w:w="4788" w:type="dxa"/>
          </w:tcPr>
          <w:p w14:paraId="02729650" w14:textId="77777777" w:rsidR="00863EF1" w:rsidRDefault="00FF4F79">
            <w:proofErr w:type="spellStart"/>
            <w:r>
              <w:t>Self organised</w:t>
            </w:r>
            <w:proofErr w:type="spellEnd"/>
            <w:r>
              <w:t xml:space="preserve"> learning groups</w:t>
            </w:r>
          </w:p>
          <w:p w14:paraId="00FD31B0" w14:textId="77777777" w:rsidR="00FF4F79" w:rsidRDefault="00FF4F79" w:rsidP="00FF4F79">
            <w:pPr>
              <w:pStyle w:val="Default"/>
              <w:rPr>
                <w:sz w:val="22"/>
                <w:szCs w:val="22"/>
              </w:rPr>
            </w:pPr>
            <w:r>
              <w:rPr>
                <w:sz w:val="22"/>
                <w:szCs w:val="22"/>
              </w:rPr>
              <w:t>total cost if the group had been taught in the traditional manner? (</w:t>
            </w:r>
            <w:proofErr w:type="gramStart"/>
            <w:r>
              <w:rPr>
                <w:sz w:val="22"/>
                <w:szCs w:val="22"/>
              </w:rPr>
              <w:t>tutor</w:t>
            </w:r>
            <w:proofErr w:type="gramEnd"/>
            <w:r>
              <w:rPr>
                <w:sz w:val="22"/>
                <w:szCs w:val="22"/>
              </w:rPr>
              <w:t xml:space="preserve"> cost + venue costs +overheads) </w:t>
            </w:r>
          </w:p>
          <w:p w14:paraId="0C67F061" w14:textId="77777777" w:rsidR="00FF4F79" w:rsidRDefault="00FF4F79" w:rsidP="00FF4F79"/>
        </w:tc>
        <w:tc>
          <w:tcPr>
            <w:tcW w:w="4788" w:type="dxa"/>
          </w:tcPr>
          <w:p w14:paraId="0A7D6FA2" w14:textId="60F6B511" w:rsidR="00863EF1" w:rsidRDefault="00505CCF">
            <w:r>
              <w:t xml:space="preserve">See volunteers. </w:t>
            </w:r>
            <w:proofErr w:type="gramStart"/>
            <w:r>
              <w:t>( at</w:t>
            </w:r>
            <w:proofErr w:type="gramEnd"/>
            <w:r>
              <w:t xml:space="preserve"> least £</w:t>
            </w:r>
            <w:r w:rsidR="008F1150">
              <w:t>1</w:t>
            </w:r>
            <w:r>
              <w:t>5,000)</w:t>
            </w:r>
          </w:p>
        </w:tc>
      </w:tr>
      <w:tr w:rsidR="00FF4F79" w14:paraId="438C16F6" w14:textId="77777777" w:rsidTr="00863EF1">
        <w:tc>
          <w:tcPr>
            <w:tcW w:w="4788" w:type="dxa"/>
          </w:tcPr>
          <w:p w14:paraId="1F37B085" w14:textId="77777777" w:rsidR="00FF4F79" w:rsidRDefault="00FF4F79" w:rsidP="00FF4F79">
            <w:pPr>
              <w:pStyle w:val="Default"/>
            </w:pPr>
            <w:r>
              <w:rPr>
                <w:sz w:val="22"/>
                <w:szCs w:val="22"/>
              </w:rPr>
              <w:t xml:space="preserve">Partnership and pilot initiatives that lead to a more effective curriculum offering - for example new subjects or better progression opportunities. This may lead to increased learner participation, particularly amongst targeted groups. </w:t>
            </w:r>
          </w:p>
          <w:p w14:paraId="367BAE79" w14:textId="77777777" w:rsidR="00FF4F79" w:rsidRDefault="00FF4F79"/>
        </w:tc>
        <w:tc>
          <w:tcPr>
            <w:tcW w:w="4788" w:type="dxa"/>
          </w:tcPr>
          <w:p w14:paraId="41E120F0" w14:textId="77777777" w:rsidR="00FF4F79" w:rsidRDefault="00FF4F79"/>
          <w:p w14:paraId="74B96DE0" w14:textId="52F3EAA5" w:rsidR="00FF4F79" w:rsidRDefault="00B36224">
            <w:r>
              <w:t xml:space="preserve">ESOL Advice Service </w:t>
            </w:r>
            <w:r w:rsidR="00505CCF">
              <w:t>£135,000 S106 Money- Home office funds</w:t>
            </w:r>
          </w:p>
          <w:p w14:paraId="727D9D6C" w14:textId="580D1E23" w:rsidR="00505CCF" w:rsidRDefault="00505CCF"/>
          <w:p w14:paraId="0A49FFC2" w14:textId="1B20A0DC" w:rsidR="00505CCF" w:rsidRDefault="00505CCF">
            <w:r>
              <w:t>Youth Employment project- £125,000 from Inclusive economy and Youth Offending Service in kind and in paid work experience payments</w:t>
            </w:r>
          </w:p>
          <w:p w14:paraId="08B930A6" w14:textId="77777777" w:rsidR="007971D1" w:rsidRDefault="007971D1"/>
        </w:tc>
      </w:tr>
      <w:tr w:rsidR="00FF4F79" w14:paraId="1BE4F880" w14:textId="77777777" w:rsidTr="00863EF1">
        <w:tc>
          <w:tcPr>
            <w:tcW w:w="4788" w:type="dxa"/>
          </w:tcPr>
          <w:p w14:paraId="7059C038" w14:textId="77777777" w:rsidR="00FF4F79" w:rsidRDefault="00AA5802" w:rsidP="00FF4F79">
            <w:pPr>
              <w:pStyle w:val="Default"/>
              <w:rPr>
                <w:sz w:val="22"/>
                <w:szCs w:val="22"/>
              </w:rPr>
            </w:pPr>
            <w:r>
              <w:rPr>
                <w:sz w:val="22"/>
                <w:szCs w:val="22"/>
              </w:rPr>
              <w:t>Training and capacity building for volunteers</w:t>
            </w:r>
          </w:p>
          <w:p w14:paraId="3E3010EA" w14:textId="77777777" w:rsidR="00AA5802" w:rsidRDefault="00AA5802" w:rsidP="00AA5802">
            <w:pPr>
              <w:pStyle w:val="Default"/>
              <w:rPr>
                <w:sz w:val="22"/>
                <w:szCs w:val="22"/>
              </w:rPr>
            </w:pPr>
            <w:r>
              <w:rPr>
                <w:sz w:val="22"/>
                <w:szCs w:val="22"/>
              </w:rPr>
              <w:t xml:space="preserve">Pilots could be providing training for new volunteers who will become a key resource for the local community. </w:t>
            </w:r>
          </w:p>
          <w:p w14:paraId="5505C27D" w14:textId="14049ED0" w:rsidR="00AA5802" w:rsidRDefault="00AA5802" w:rsidP="00AA5802">
            <w:pPr>
              <w:pStyle w:val="Default"/>
              <w:rPr>
                <w:sz w:val="22"/>
                <w:szCs w:val="22"/>
              </w:rPr>
            </w:pPr>
            <w:r>
              <w:rPr>
                <w:sz w:val="22"/>
                <w:szCs w:val="22"/>
              </w:rPr>
              <w:t xml:space="preserve">Pilots should identify the total number of volunteers they anticipate training and if </w:t>
            </w:r>
            <w:proofErr w:type="gramStart"/>
            <w:r>
              <w:rPr>
                <w:sz w:val="22"/>
                <w:szCs w:val="22"/>
              </w:rPr>
              <w:t>possible</w:t>
            </w:r>
            <w:proofErr w:type="gramEnd"/>
            <w:r>
              <w:rPr>
                <w:sz w:val="22"/>
                <w:szCs w:val="22"/>
              </w:rPr>
              <w:t xml:space="preserve"> identify the areas in which they are likely to be engaged. </w:t>
            </w:r>
          </w:p>
        </w:tc>
        <w:tc>
          <w:tcPr>
            <w:tcW w:w="4788" w:type="dxa"/>
          </w:tcPr>
          <w:p w14:paraId="76865E85" w14:textId="0E63D15A" w:rsidR="005530A6" w:rsidRDefault="00505CCF">
            <w:r>
              <w:t>Expecting to build an IAG champions programme – an approximate £35,000 equivalent post with oncosts in volunteers IAG workers.</w:t>
            </w:r>
          </w:p>
        </w:tc>
      </w:tr>
      <w:tr w:rsidR="00AA5802" w14:paraId="310D3E7B" w14:textId="77777777" w:rsidTr="00863EF1">
        <w:tc>
          <w:tcPr>
            <w:tcW w:w="4788" w:type="dxa"/>
          </w:tcPr>
          <w:p w14:paraId="3A1DF46F" w14:textId="77777777" w:rsidR="00AA5802" w:rsidRDefault="00AA5802" w:rsidP="00FF4F79">
            <w:pPr>
              <w:pStyle w:val="Default"/>
              <w:rPr>
                <w:sz w:val="22"/>
                <w:szCs w:val="22"/>
              </w:rPr>
            </w:pPr>
            <w:r>
              <w:rPr>
                <w:sz w:val="22"/>
                <w:szCs w:val="22"/>
              </w:rPr>
              <w:t>Training and capacity building for voluntary and community organisations</w:t>
            </w:r>
          </w:p>
          <w:p w14:paraId="2A370710" w14:textId="77777777" w:rsidR="00AA5802" w:rsidRDefault="00AA5802" w:rsidP="00AA5802">
            <w:pPr>
              <w:pStyle w:val="Default"/>
              <w:numPr>
                <w:ilvl w:val="0"/>
                <w:numId w:val="12"/>
              </w:numPr>
              <w:rPr>
                <w:sz w:val="22"/>
                <w:szCs w:val="22"/>
              </w:rPr>
            </w:pPr>
            <w:r>
              <w:rPr>
                <w:sz w:val="22"/>
                <w:szCs w:val="22"/>
              </w:rPr>
              <w:t>Camden work to support small providers</w:t>
            </w:r>
          </w:p>
        </w:tc>
        <w:tc>
          <w:tcPr>
            <w:tcW w:w="4788" w:type="dxa"/>
          </w:tcPr>
          <w:p w14:paraId="1C16C842" w14:textId="35CCE854" w:rsidR="00AA5802" w:rsidRDefault="00505CCF">
            <w:r>
              <w:t>Work with Birkbeck University of London upskilling TRA volunteers and managers – Free but probably around £30,000</w:t>
            </w:r>
          </w:p>
        </w:tc>
      </w:tr>
    </w:tbl>
    <w:p w14:paraId="6422B87E" w14:textId="77777777" w:rsidR="00475C8E" w:rsidRDefault="006C0854">
      <w:r>
        <w:t>⨪</w:t>
      </w:r>
    </w:p>
    <w:sectPr w:rsidR="00475C8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205C" w14:textId="77777777" w:rsidR="004E3C60" w:rsidRDefault="004E3C60" w:rsidP="000B645C">
      <w:pPr>
        <w:spacing w:after="0" w:line="240" w:lineRule="auto"/>
      </w:pPr>
      <w:r>
        <w:separator/>
      </w:r>
    </w:p>
  </w:endnote>
  <w:endnote w:type="continuationSeparator" w:id="0">
    <w:p w14:paraId="217343A0" w14:textId="77777777" w:rsidR="004E3C60" w:rsidRDefault="004E3C60" w:rsidP="000B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5FD9" w14:textId="77777777" w:rsidR="004E3C60" w:rsidRDefault="004E3C60" w:rsidP="000B645C">
      <w:pPr>
        <w:spacing w:after="0" w:line="240" w:lineRule="auto"/>
      </w:pPr>
      <w:r>
        <w:separator/>
      </w:r>
    </w:p>
  </w:footnote>
  <w:footnote w:type="continuationSeparator" w:id="0">
    <w:p w14:paraId="706E8C4A" w14:textId="77777777" w:rsidR="004E3C60" w:rsidRDefault="004E3C60" w:rsidP="000B6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4D01"/>
    <w:multiLevelType w:val="hybridMultilevel"/>
    <w:tmpl w:val="B148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A10A8"/>
    <w:multiLevelType w:val="hybridMultilevel"/>
    <w:tmpl w:val="78E0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15DFF"/>
    <w:multiLevelType w:val="hybridMultilevel"/>
    <w:tmpl w:val="97B8E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BE7199"/>
    <w:multiLevelType w:val="hybridMultilevel"/>
    <w:tmpl w:val="93B4E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364320"/>
    <w:multiLevelType w:val="hybridMultilevel"/>
    <w:tmpl w:val="DECA769E"/>
    <w:lvl w:ilvl="0" w:tplc="9B72F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3205B"/>
    <w:multiLevelType w:val="hybridMultilevel"/>
    <w:tmpl w:val="DC1A6B8E"/>
    <w:lvl w:ilvl="0" w:tplc="9B72FA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A571ED1"/>
    <w:multiLevelType w:val="hybridMultilevel"/>
    <w:tmpl w:val="F5AC8E2A"/>
    <w:lvl w:ilvl="0" w:tplc="18C0CA8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13244"/>
    <w:multiLevelType w:val="hybridMultilevel"/>
    <w:tmpl w:val="11261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7D96D4E"/>
    <w:multiLevelType w:val="hybridMultilevel"/>
    <w:tmpl w:val="4A32D3EE"/>
    <w:lvl w:ilvl="0" w:tplc="9B72FA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DF005E"/>
    <w:multiLevelType w:val="hybridMultilevel"/>
    <w:tmpl w:val="23A4C702"/>
    <w:lvl w:ilvl="0" w:tplc="9B72F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E46461"/>
    <w:multiLevelType w:val="hybridMultilevel"/>
    <w:tmpl w:val="F68CF744"/>
    <w:lvl w:ilvl="0" w:tplc="E2F466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C1A63"/>
    <w:multiLevelType w:val="hybridMultilevel"/>
    <w:tmpl w:val="1AC6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7"/>
  </w:num>
  <w:num w:numId="5">
    <w:abstractNumId w:val="1"/>
  </w:num>
  <w:num w:numId="6">
    <w:abstractNumId w:val="9"/>
  </w:num>
  <w:num w:numId="7">
    <w:abstractNumId w:val="8"/>
  </w:num>
  <w:num w:numId="8">
    <w:abstractNumId w:val="2"/>
  </w:num>
  <w:num w:numId="9">
    <w:abstractNumId w:val="0"/>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F1"/>
    <w:rsid w:val="000B645C"/>
    <w:rsid w:val="000F515C"/>
    <w:rsid w:val="00170217"/>
    <w:rsid w:val="002127F7"/>
    <w:rsid w:val="00215034"/>
    <w:rsid w:val="003C2261"/>
    <w:rsid w:val="004E3C60"/>
    <w:rsid w:val="004F0AE1"/>
    <w:rsid w:val="004F7CE9"/>
    <w:rsid w:val="00505CCF"/>
    <w:rsid w:val="0051409C"/>
    <w:rsid w:val="00531E62"/>
    <w:rsid w:val="005530A6"/>
    <w:rsid w:val="00581090"/>
    <w:rsid w:val="005D23FE"/>
    <w:rsid w:val="00652149"/>
    <w:rsid w:val="006C0854"/>
    <w:rsid w:val="007971D1"/>
    <w:rsid w:val="007F5606"/>
    <w:rsid w:val="00816257"/>
    <w:rsid w:val="00863EF1"/>
    <w:rsid w:val="008F1150"/>
    <w:rsid w:val="008F60E8"/>
    <w:rsid w:val="00916F16"/>
    <w:rsid w:val="009B3CA7"/>
    <w:rsid w:val="00A8377D"/>
    <w:rsid w:val="00AA5802"/>
    <w:rsid w:val="00AF7F6F"/>
    <w:rsid w:val="00B36224"/>
    <w:rsid w:val="00B67680"/>
    <w:rsid w:val="00BA2F05"/>
    <w:rsid w:val="00BC5053"/>
    <w:rsid w:val="00BD25D6"/>
    <w:rsid w:val="00C81DA8"/>
    <w:rsid w:val="00DD461B"/>
    <w:rsid w:val="00E57950"/>
    <w:rsid w:val="00E57B15"/>
    <w:rsid w:val="00E87660"/>
    <w:rsid w:val="00EF43F3"/>
    <w:rsid w:val="00F07CEC"/>
    <w:rsid w:val="00F7102D"/>
    <w:rsid w:val="00FD5C19"/>
    <w:rsid w:val="00FF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E063B"/>
  <w15:docId w15:val="{0B5C2273-B8A0-4103-9F45-679EE9FB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3EF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F5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Lavis, Jennie</dc:creator>
  <cp:lastModifiedBy>Mark Isherwood</cp:lastModifiedBy>
  <cp:revision>7</cp:revision>
  <dcterms:created xsi:type="dcterms:W3CDTF">2022-04-27T15:41:00Z</dcterms:created>
  <dcterms:modified xsi:type="dcterms:W3CDTF">2022-04-27T15:47:00Z</dcterms:modified>
</cp:coreProperties>
</file>